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2F6" w:rsidRDefault="00723CC5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9B52F6" w:rsidRDefault="00723CC5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9B52F6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B52F6" w:rsidRDefault="00723CC5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52F6" w:rsidRDefault="003362A0">
            <w:pPr>
              <w:pStyle w:val="normal-000032"/>
            </w:pPr>
            <w:r>
              <w:rPr>
                <w:rStyle w:val="000033"/>
              </w:rPr>
              <w:t>  1-2025</w:t>
            </w:r>
            <w:bookmarkStart w:id="0" w:name="_GoBack"/>
            <w:bookmarkEnd w:id="0"/>
          </w:p>
        </w:tc>
      </w:tr>
    </w:tbl>
    <w:p w:rsidR="009B52F6" w:rsidRDefault="00723CC5">
      <w:pPr>
        <w:pStyle w:val="normal-000034"/>
      </w:pPr>
      <w:r>
        <w:rPr>
          <w:rStyle w:val="000035"/>
        </w:rPr>
        <w:t xml:space="preserve">  </w:t>
      </w:r>
    </w:p>
    <w:tbl>
      <w:tblPr>
        <w:tblW w:w="9010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6"/>
        <w:gridCol w:w="446"/>
        <w:gridCol w:w="14"/>
        <w:gridCol w:w="13"/>
        <w:gridCol w:w="1712"/>
        <w:gridCol w:w="818"/>
        <w:gridCol w:w="779"/>
        <w:gridCol w:w="1019"/>
        <w:gridCol w:w="640"/>
        <w:gridCol w:w="830"/>
        <w:gridCol w:w="415"/>
        <w:gridCol w:w="175"/>
        <w:gridCol w:w="195"/>
        <w:gridCol w:w="563"/>
        <w:gridCol w:w="935"/>
      </w:tblGrid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9B52F6" w:rsidRDefault="00723CC5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01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B52F6" w:rsidRDefault="00723CC5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5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B52F6" w:rsidRDefault="00723CC5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1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5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>  OŠ Stanovi Zadar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1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5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>  Rine Aras 3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1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5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>  Zadar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1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5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9B52F6">
            <w:pPr>
              <w:pStyle w:val="normal-000045"/>
              <w:jc w:val="left"/>
            </w:pP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9B52F6" w:rsidRDefault="00723CC5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01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B52F6" w:rsidRDefault="00723CC5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38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>8.a,8.b,8.c</w:t>
            </w:r>
          </w:p>
        </w:tc>
        <w:tc>
          <w:tcPr>
            <w:tcW w:w="1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B52F6" w:rsidRDefault="00723CC5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9B52F6" w:rsidRDefault="00723CC5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01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B52F6" w:rsidRDefault="00723CC5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5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B52F6" w:rsidRDefault="00723CC5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32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9B52F6">
        <w:trPr>
          <w:trHeight w:val="180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32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32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51"/>
            </w:pPr>
            <w:r>
              <w:rPr>
                <w:rStyle w:val="defaultparagraphfont-000004"/>
              </w:rPr>
              <w:t> 3          dana</w:t>
            </w:r>
            <w:r>
              <w:t xml:space="preserve"> </w:t>
            </w:r>
          </w:p>
        </w:tc>
        <w:tc>
          <w:tcPr>
            <w:tcW w:w="22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51"/>
            </w:pPr>
            <w:r>
              <w:rPr>
                <w:rStyle w:val="defaultparagraphfont-000004"/>
              </w:rPr>
              <w:t>2    noćenja</w:t>
            </w:r>
            <w:r>
              <w:t xml:space="preserve"> 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32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9B52F6" w:rsidRDefault="00723CC5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014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9B52F6" w:rsidRDefault="00723CC5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54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B52F6" w:rsidRDefault="00723CC5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5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>  RH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5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9B52F6"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B52F6" w:rsidRDefault="00723CC5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9B52F6" w:rsidRDefault="009B52F6">
            <w:pPr>
              <w:pStyle w:val="normal-000013"/>
              <w:jc w:val="center"/>
            </w:pPr>
          </w:p>
        </w:tc>
        <w:tc>
          <w:tcPr>
            <w:tcW w:w="3014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B52F6" w:rsidRDefault="00723CC5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9B52F6" w:rsidRDefault="00723CC5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52F6" w:rsidRDefault="00723CC5">
            <w:pPr>
              <w:pStyle w:val="normal-000013"/>
              <w:rPr>
                <w:sz w:val="20"/>
                <w:szCs w:val="20"/>
              </w:rPr>
            </w:pPr>
            <w:r>
              <w:rPr>
                <w:rStyle w:val="000021"/>
              </w:rPr>
              <w:t>Od 14.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52F6" w:rsidRDefault="00723CC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>travnja 2025.</w:t>
            </w: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52F6" w:rsidRDefault="00723CC5">
            <w:pPr>
              <w:pStyle w:val="normal-000013"/>
            </w:pPr>
            <w:r>
              <w:rPr>
                <w:rStyle w:val="000021"/>
              </w:rPr>
              <w:t>do </w:t>
            </w:r>
            <w:r>
              <w:t xml:space="preserve"> 16.</w:t>
            </w:r>
          </w:p>
        </w:tc>
        <w:tc>
          <w:tcPr>
            <w:tcW w:w="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52F6" w:rsidRDefault="00723CC5">
            <w:pPr>
              <w:pStyle w:val="normal-000013"/>
            </w:pPr>
            <w:r>
              <w:rPr>
                <w:rStyle w:val="000021"/>
              </w:rPr>
              <w:t>Travnja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52F6" w:rsidRDefault="00723CC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2025.</w:t>
            </w:r>
          </w:p>
        </w:tc>
      </w:tr>
      <w:tr w:rsidR="009B52F6">
        <w:tc>
          <w:tcPr>
            <w:tcW w:w="45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B52F6" w:rsidRDefault="009B52F6">
            <w:pPr>
              <w:pStyle w:val="normal-000013"/>
              <w:jc w:val="center"/>
              <w:rPr>
                <w:rStyle w:val="defaultparagraphfont-000037"/>
              </w:rPr>
            </w:pPr>
          </w:p>
        </w:tc>
        <w:tc>
          <w:tcPr>
            <w:tcW w:w="3014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B52F6" w:rsidRDefault="009B52F6">
            <w:pPr>
              <w:pStyle w:val="normal-000003"/>
              <w:rPr>
                <w:rStyle w:val="defaultparagraphfont-000037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52F6" w:rsidRDefault="009B52F6">
            <w:pPr>
              <w:pStyle w:val="normal-000013"/>
              <w:jc w:val="both"/>
              <w:rPr>
                <w:rStyle w:val="000021"/>
              </w:rPr>
            </w:pP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52F6" w:rsidRDefault="00723CC5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 xml:space="preserve"> </w:t>
            </w: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52F6" w:rsidRDefault="009B52F6">
            <w:pPr>
              <w:pStyle w:val="normal-000013"/>
              <w:rPr>
                <w:rStyle w:val="000021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52F6" w:rsidRDefault="009B52F6">
            <w:pPr>
              <w:pStyle w:val="normal-000013"/>
              <w:rPr>
                <w:rStyle w:val="000021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52F6" w:rsidRDefault="00723CC5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 xml:space="preserve">  </w:t>
            </w:r>
          </w:p>
        </w:tc>
      </w:tr>
      <w:tr w:rsidR="009B52F6">
        <w:tc>
          <w:tcPr>
            <w:tcW w:w="45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9B52F6" w:rsidRDefault="009B52F6">
            <w:pPr>
              <w:pStyle w:val="normal-000013"/>
            </w:pPr>
          </w:p>
        </w:tc>
        <w:tc>
          <w:tcPr>
            <w:tcW w:w="3014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2F6" w:rsidRDefault="009B52F6"/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9B52F6" w:rsidRDefault="00723CC5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9B52F6" w:rsidRDefault="00723CC5">
            <w:pPr>
              <w:pStyle w:val="normal-000008"/>
              <w:jc w:val="left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9B52F6" w:rsidRDefault="00723CC5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9B52F6" w:rsidRDefault="00723CC5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B52F6" w:rsidRDefault="00723CC5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9B52F6" w:rsidRDefault="00723CC5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01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B52F6" w:rsidRDefault="00723CC5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5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B52F6" w:rsidRDefault="00723CC5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9B52F6" w:rsidRDefault="00723CC5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9B52F6" w:rsidRDefault="00723CC5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t>65</w:t>
            </w:r>
          </w:p>
        </w:tc>
        <w:tc>
          <w:tcPr>
            <w:tcW w:w="37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52F6" w:rsidRDefault="00723CC5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:rsidR="009B52F6" w:rsidRDefault="00723CC5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9B52F6" w:rsidRDefault="00723CC5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2F6" w:rsidRDefault="009B52F6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2F6" w:rsidRDefault="009B52F6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2F6" w:rsidRDefault="009B52F6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2F6" w:rsidRDefault="00723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učitelja + 1 pomoćnik u nastavi</w:t>
            </w:r>
          </w:p>
        </w:tc>
        <w:tc>
          <w:tcPr>
            <w:tcW w:w="41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2F6" w:rsidRDefault="009B52F6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2F6" w:rsidRDefault="009B52F6">
            <w:pPr>
              <w:rPr>
                <w:sz w:val="20"/>
                <w:szCs w:val="20"/>
              </w:rPr>
            </w:pPr>
          </w:p>
        </w:tc>
        <w:tc>
          <w:tcPr>
            <w:tcW w:w="1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2F6" w:rsidRDefault="009B52F6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2F6" w:rsidRDefault="009B52F6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2F6" w:rsidRDefault="009B52F6"/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:rsidR="009B52F6" w:rsidRDefault="00723CC5">
            <w:pPr>
              <w:pStyle w:val="normal-000066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9B52F6" w:rsidRDefault="00723CC5">
            <w:pPr>
              <w:pStyle w:val="normal-000003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55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t>3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9B52F6" w:rsidRDefault="00723CC5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01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B52F6" w:rsidRDefault="00723CC5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5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B52F6" w:rsidRDefault="00723CC5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1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52F6" w:rsidRDefault="00723CC5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5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52F6" w:rsidRDefault="00723CC5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Zadar-parkiralište ŠC Višnjik  (oko 07:00)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1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52F6" w:rsidRDefault="00723CC5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5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52F6" w:rsidRDefault="00723CC5">
            <w:pPr>
              <w:pStyle w:val="Odlomakpopisa1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Fažana, Hum, Motovun, Višnjan (u večernjim satima radi zvjezdarnice), Rovinj, Pula, Brijuni,</w:t>
            </w:r>
          </w:p>
          <w:p w:rsidR="009B52F6" w:rsidRDefault="00723CC5">
            <w:pPr>
              <w:pStyle w:val="Odlomakpopisa1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Krajnji cilj putovanja Poreč 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9B52F6" w:rsidRDefault="00723CC5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01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B52F6" w:rsidRDefault="00723CC5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5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B52F6" w:rsidRDefault="009B52F6">
            <w:pPr>
              <w:rPr>
                <w:rFonts w:cs="Arial"/>
                <w:b/>
              </w:rPr>
            </w:pP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5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52F6" w:rsidRDefault="00723CC5">
            <w:pPr>
              <w:pStyle w:val="listparagraph-000079"/>
              <w:jc w:val="center"/>
            </w:pPr>
            <w:r>
              <w:t>X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5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5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52F6" w:rsidRDefault="00723CC5">
            <w:pPr>
              <w:pStyle w:val="listparagraph-000079"/>
            </w:pPr>
            <w:r>
              <w:t>Povratna karta za Brijune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5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5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9B52F6" w:rsidRDefault="00723CC5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01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B52F6" w:rsidRDefault="00723CC5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5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B52F6" w:rsidRDefault="00723CC5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7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9B52F6" w:rsidRDefault="00723CC5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53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52F6" w:rsidRDefault="00723CC5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5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52F6" w:rsidRDefault="00723CC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73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:rsidR="009B52F6" w:rsidRDefault="00723CC5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539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9B52F6" w:rsidRDefault="00723CC5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542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:rsidR="009B52F6" w:rsidRDefault="00723CC5">
            <w:pPr>
              <w:pStyle w:val="listparagraph-00008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zvjezdice (</w:t>
            </w:r>
            <w:r>
              <w:rPr>
                <w:b/>
                <w:bCs/>
                <w:i/>
                <w:sz w:val="20"/>
                <w:szCs w:val="20"/>
              </w:rPr>
              <w:t>X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9B52F6">
        <w:tc>
          <w:tcPr>
            <w:tcW w:w="455" w:type="dxa"/>
            <w:tcBorders>
              <w:left w:val="single" w:sz="6" w:space="0" w:color="000000"/>
            </w:tcBorders>
            <w:shd w:val="clear" w:color="auto" w:fill="FFFFFF"/>
          </w:tcPr>
          <w:p w:rsidR="009B52F6" w:rsidRDefault="009B52F6">
            <w:pPr>
              <w:pStyle w:val="normal-000013"/>
              <w:rPr>
                <w:rStyle w:val="000042"/>
              </w:rPr>
            </w:pPr>
          </w:p>
        </w:tc>
        <w:tc>
          <w:tcPr>
            <w:tcW w:w="473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:rsidR="009B52F6" w:rsidRDefault="00723CC5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539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9B52F6" w:rsidRDefault="00723CC5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5542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:rsidR="009B52F6" w:rsidRDefault="00723CC5">
            <w:pPr>
              <w:pStyle w:val="listparagraph-000089"/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B52F6">
        <w:tc>
          <w:tcPr>
            <w:tcW w:w="455" w:type="dxa"/>
            <w:tcBorders>
              <w:left w:val="single" w:sz="6" w:space="0" w:color="000000"/>
            </w:tcBorders>
            <w:shd w:val="clear" w:color="auto" w:fill="FFFFFF"/>
          </w:tcPr>
          <w:p w:rsidR="009B52F6" w:rsidRDefault="009B52F6">
            <w:pPr>
              <w:pStyle w:val="normal-000013"/>
              <w:rPr>
                <w:rStyle w:val="000042"/>
              </w:rPr>
            </w:pPr>
          </w:p>
        </w:tc>
        <w:tc>
          <w:tcPr>
            <w:tcW w:w="473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:rsidR="009B52F6" w:rsidRDefault="00723CC5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539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:rsidR="009B52F6" w:rsidRDefault="00723CC5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542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52F6" w:rsidRDefault="00723CC5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B52F6">
        <w:tc>
          <w:tcPr>
            <w:tcW w:w="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52F6" w:rsidRDefault="009B52F6">
            <w:pPr>
              <w:pStyle w:val="normal-000013"/>
              <w:rPr>
                <w:rStyle w:val="000042"/>
              </w:rPr>
            </w:pPr>
          </w:p>
        </w:tc>
        <w:tc>
          <w:tcPr>
            <w:tcW w:w="473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:rsidR="009B52F6" w:rsidRDefault="00723CC5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539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B52F6" w:rsidRDefault="00723CC5">
            <w:pPr>
              <w:pStyle w:val="normal-000088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5542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52F6" w:rsidRDefault="00723CC5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7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9B52F6" w:rsidRDefault="00723CC5">
            <w:pPr>
              <w:pStyle w:val="normal-000066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53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52F6" w:rsidRDefault="00723CC5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5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52F6" w:rsidRDefault="00723CC5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7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9B52F6" w:rsidRDefault="00723CC5">
            <w:pPr>
              <w:pStyle w:val="normal-000066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53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52F6" w:rsidRDefault="00723CC5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5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52F6" w:rsidRDefault="00723CC5">
            <w:pPr>
              <w:pStyle w:val="normal-000013"/>
              <w:jc w:val="center"/>
            </w:pPr>
            <w:r>
              <w:t>X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7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B52F6" w:rsidRDefault="00723CC5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9B52F6" w:rsidRDefault="00723CC5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53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52F6" w:rsidRDefault="00723CC5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9B52F6" w:rsidRDefault="00723CC5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5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52F6" w:rsidRDefault="00723CC5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7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B52F6" w:rsidRDefault="00723CC5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53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52F6" w:rsidRDefault="00723CC5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5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52F6" w:rsidRDefault="00723CC5">
            <w:pPr>
              <w:pStyle w:val="normal-000013"/>
            </w:pPr>
            <w:r>
              <w:t>*Gratis za 1 pomoćnika u nastavi</w:t>
            </w:r>
          </w:p>
          <w:p w:rsidR="009B52F6" w:rsidRDefault="00723CC5">
            <w:pPr>
              <w:pStyle w:val="normal-000013"/>
            </w:pPr>
            <w:r>
              <w:t>*Gratis za majku djeteta sa zdravstvenim problemom</w:t>
            </w:r>
          </w:p>
          <w:p w:rsidR="009B52F6" w:rsidRDefault="00723CC5">
            <w:pPr>
              <w:pStyle w:val="normal-000013"/>
            </w:pPr>
            <w:r>
              <w:t xml:space="preserve">*Popust na drugog blizanca </w:t>
            </w:r>
          </w:p>
          <w:p w:rsidR="009B52F6" w:rsidRDefault="00723CC5">
            <w:pPr>
              <w:pStyle w:val="normal-000013"/>
            </w:pPr>
            <w:r>
              <w:t>*posebna prehrana za učenike s zdravstvenim problemima</w:t>
            </w:r>
          </w:p>
          <w:p w:rsidR="009B52F6" w:rsidRDefault="00723CC5">
            <w:pPr>
              <w:pStyle w:val="normal-000013"/>
            </w:pPr>
            <w:r>
              <w:t>*planirati 3 dodatna ručka na usputnim lokacijama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9B52F6" w:rsidRDefault="00723CC5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01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B52F6" w:rsidRDefault="00723CC5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54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B52F6" w:rsidRDefault="00723CC5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54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9B52F6" w:rsidRDefault="00723CC5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Poreč – Eufrazijeva bazilika, stari grad</w:t>
            </w:r>
          </w:p>
          <w:p w:rsidR="009B52F6" w:rsidRDefault="00723CC5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Hum – Aleja glagoljaša</w:t>
            </w:r>
          </w:p>
          <w:p w:rsidR="009B52F6" w:rsidRDefault="00723CC5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Motovun – zidine, zvonik – kula, crkva Sv. Stjepana</w:t>
            </w:r>
          </w:p>
          <w:p w:rsidR="009B52F6" w:rsidRDefault="00723CC5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Rovinj – stari grad, crkva sv. Eufemije, franjevački samostan, Akvarij</w:t>
            </w:r>
          </w:p>
          <w:p w:rsidR="009B52F6" w:rsidRDefault="00723CC5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Pula – Arena, Augustov hram, Zlatna vrata, Kaštel, NP „Brijuni“</w:t>
            </w:r>
          </w:p>
          <w:p w:rsidR="009B52F6" w:rsidRDefault="00723CC5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Zvjezdarnica Višnjan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5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4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5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52F6" w:rsidRDefault="009B52F6">
            <w:pPr>
              <w:pStyle w:val="listparagraph-000089"/>
              <w:jc w:val="center"/>
            </w:pP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9B52F6" w:rsidRDefault="00723CC5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81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B52F6" w:rsidRDefault="00723CC5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7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B52F6" w:rsidRDefault="00723CC5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5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9B52F6" w:rsidRDefault="00723CC5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7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57"/>
              <w:jc w:val="center"/>
            </w:pPr>
            <w:r>
              <w:t>X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52F6" w:rsidRDefault="00723CC5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5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7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9B52F6">
            <w:pPr>
              <w:pStyle w:val="listparagraph-000057"/>
              <w:jc w:val="center"/>
            </w:pP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5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7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52F6" w:rsidRDefault="00723CC5">
            <w:pPr>
              <w:pStyle w:val="listparagraph-000057"/>
              <w:jc w:val="center"/>
            </w:pPr>
            <w:r>
              <w:t>X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52F6" w:rsidRDefault="00723CC5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5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7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57"/>
              <w:jc w:val="center"/>
            </w:pPr>
            <w:r>
              <w:t>X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5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7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9B52F6">
            <w:pPr>
              <w:pStyle w:val="listparagraph-000057"/>
              <w:jc w:val="center"/>
            </w:pPr>
          </w:p>
        </w:tc>
      </w:tr>
      <w:tr w:rsidR="009B52F6">
        <w:tc>
          <w:tcPr>
            <w:tcW w:w="900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B52F6" w:rsidRDefault="00723CC5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9B52F6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52F6" w:rsidRDefault="00723CC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19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3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80"/>
            </w:pPr>
            <w:r>
              <w:rPr>
                <w:rStyle w:val="defaultparagraphfont-000107"/>
                <w:color w:val="000000" w:themeColor="text1"/>
              </w:rPr>
              <w:t xml:space="preserve">8 radnih dana,   od   </w:t>
            </w:r>
            <w:r w:rsidR="009F0B93" w:rsidRPr="00D267E7">
              <w:rPr>
                <w:rStyle w:val="defaultparagraphfont-000107"/>
              </w:rPr>
              <w:t xml:space="preserve">21.1.-31.1.2025.godine </w:t>
            </w:r>
          </w:p>
        </w:tc>
      </w:tr>
      <w:tr w:rsidR="009B52F6">
        <w:tc>
          <w:tcPr>
            <w:tcW w:w="52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22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2F6" w:rsidRDefault="00723CC5">
            <w:pPr>
              <w:pStyle w:val="listparagraph-000057"/>
            </w:pPr>
            <w:r>
              <w:rPr>
                <w:rStyle w:val="000002"/>
                <w:color w:val="FF0000"/>
              </w:rPr>
              <w:t> </w:t>
            </w:r>
            <w:r w:rsidR="009F0B93" w:rsidRPr="00D267E7">
              <w:rPr>
                <w:color w:val="FF0000"/>
              </w:rPr>
              <w:t xml:space="preserve">6.veljače 2025.g. u 17:30 </w:t>
            </w:r>
          </w:p>
        </w:tc>
        <w:tc>
          <w:tcPr>
            <w:tcW w:w="1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52F6" w:rsidRDefault="009B52F6">
            <w:pPr>
              <w:pStyle w:val="listparagraph-000111"/>
              <w:jc w:val="left"/>
              <w:rPr>
                <w:color w:val="000000" w:themeColor="text1"/>
              </w:rPr>
            </w:pPr>
          </w:p>
        </w:tc>
      </w:tr>
    </w:tbl>
    <w:p w:rsidR="009B52F6" w:rsidRDefault="00723CC5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9B52F6" w:rsidRDefault="00723CC5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9B52F6" w:rsidRDefault="00723CC5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9B52F6" w:rsidRDefault="00723CC5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9B52F6" w:rsidRDefault="00723CC5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9B52F6" w:rsidRDefault="00723CC5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9B52F6" w:rsidRDefault="00723CC5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:rsidR="009B52F6" w:rsidRDefault="00723CC5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9B52F6" w:rsidRDefault="00723CC5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9B52F6" w:rsidRDefault="00723CC5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9B52F6" w:rsidRDefault="00723CC5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9B52F6" w:rsidRDefault="00723CC5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9B52F6" w:rsidRDefault="00723CC5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9B52F6" w:rsidRDefault="00723CC5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9B52F6" w:rsidRDefault="00723CC5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9B52F6" w:rsidRDefault="00723CC5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9B52F6" w:rsidRDefault="00723CC5">
      <w:pPr>
        <w:pStyle w:val="000143"/>
        <w:spacing w:before="120" w:beforeAutospacing="0" w:after="120"/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B52F6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F6"/>
    <w:rsid w:val="003362A0"/>
    <w:rsid w:val="00723CC5"/>
    <w:rsid w:val="00814F8F"/>
    <w:rsid w:val="009B52F6"/>
    <w:rsid w:val="009F0B93"/>
    <w:rsid w:val="00D2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6C78"/>
  <w15:docId w15:val="{24DC1C64-CA25-4109-89DB-C7D248FA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unhideWhenUsed/>
    <w:rsid w:val="00E4221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qFormat/>
    <w:rsid w:val="00E4221C"/>
    <w:rPr>
      <w:color w:val="605E5C"/>
      <w:shd w:val="clear" w:color="auto" w:fill="E1DFDD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FB0284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paragraph" w:customStyle="1" w:styleId="Odlomakpopisa1">
    <w:name w:val="Odlomak popisa1"/>
    <w:basedOn w:val="Normal"/>
    <w:qFormat/>
    <w:rsid w:val="006A0D25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FB0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880</Words>
  <Characters>5022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Tajnica</cp:lastModifiedBy>
  <cp:revision>73</cp:revision>
  <cp:lastPrinted>2023-01-12T10:36:00Z</cp:lastPrinted>
  <dcterms:created xsi:type="dcterms:W3CDTF">2022-11-15T12:11:00Z</dcterms:created>
  <dcterms:modified xsi:type="dcterms:W3CDTF">2025-01-21T10:16:00Z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